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619CB3F1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1071CE">
        <w:rPr>
          <w:rFonts w:ascii="Arial" w:hAnsi="Arial" w:cs="Arial"/>
          <w:szCs w:val="24"/>
          <w:lang w:val="en-GB"/>
        </w:rPr>
        <w:t>84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7BBC59D2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1071CE">
        <w:rPr>
          <w:rFonts w:ascii="Arial" w:hAnsi="Arial" w:cs="Arial"/>
          <w:bCs/>
          <w:szCs w:val="24"/>
          <w:lang w:val="en-GB"/>
        </w:rPr>
        <w:t>April 1,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62ACFA1A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6A658F">
        <w:rPr>
          <w:rFonts w:ascii="Arial" w:hAnsi="Arial" w:cs="Arial"/>
          <w:szCs w:val="24"/>
          <w:lang w:val="en-GB"/>
        </w:rPr>
        <w:t>March 30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62CF0143" w14:textId="3E549386" w:rsidR="002B07F9" w:rsidRPr="00E35ABF" w:rsidRDefault="002B07F9" w:rsidP="002B07F9">
      <w:pPr>
        <w:pStyle w:val="Heading1"/>
        <w:rPr>
          <w:rFonts w:ascii="Arial" w:hAnsi="Arial" w:cs="Arial"/>
          <w:b w:val="0"/>
          <w:szCs w:val="24"/>
        </w:rPr>
      </w:pPr>
      <w:r w:rsidRPr="00E35ABF">
        <w:rPr>
          <w:rFonts w:ascii="Arial" w:hAnsi="Arial" w:cs="Arial"/>
          <w:b w:val="0"/>
          <w:szCs w:val="24"/>
        </w:rPr>
        <w:lastRenderedPageBreak/>
        <w:t>Ontario Court of Justice</w:t>
      </w:r>
    </w:p>
    <w:p w14:paraId="48E405BF" w14:textId="77777777" w:rsidR="00BE32E3" w:rsidRPr="00E35ABF" w:rsidRDefault="00BE32E3" w:rsidP="00BE32E3">
      <w:pPr>
        <w:rPr>
          <w:rFonts w:ascii="Arial" w:hAnsi="Arial" w:cs="Arial"/>
          <w:szCs w:val="24"/>
          <w:lang w:val="en-GB"/>
        </w:rPr>
      </w:pPr>
    </w:p>
    <w:p w14:paraId="3A706452" w14:textId="1E05B7F3" w:rsidR="002B07F9" w:rsidRPr="00E35ABF" w:rsidRDefault="002B07F9" w:rsidP="002B07F9">
      <w:pPr>
        <w:jc w:val="center"/>
        <w:rPr>
          <w:rFonts w:ascii="Arial" w:hAnsi="Arial" w:cs="Arial"/>
          <w:szCs w:val="24"/>
          <w:lang w:val="en-GB"/>
        </w:rPr>
      </w:pPr>
      <w:r w:rsidRPr="00E35ABF">
        <w:rPr>
          <w:rFonts w:ascii="Arial" w:hAnsi="Arial" w:cs="Arial"/>
          <w:szCs w:val="24"/>
          <w:lang w:val="en-GB"/>
        </w:rPr>
        <w:t xml:space="preserve">Last Updated: </w:t>
      </w:r>
      <w:r w:rsidR="001071CE">
        <w:rPr>
          <w:rFonts w:ascii="Arial" w:hAnsi="Arial" w:cs="Arial"/>
          <w:szCs w:val="24"/>
          <w:lang w:val="en-GB"/>
        </w:rPr>
        <w:t>April</w:t>
      </w:r>
      <w:r w:rsidR="00925599" w:rsidRPr="00E35ABF">
        <w:rPr>
          <w:rFonts w:ascii="Arial" w:hAnsi="Arial" w:cs="Arial"/>
          <w:szCs w:val="24"/>
          <w:lang w:val="en-GB"/>
        </w:rPr>
        <w:t xml:space="preserve"> 1, 202</w:t>
      </w:r>
      <w:r w:rsidR="001071CE">
        <w:rPr>
          <w:rFonts w:ascii="Arial" w:hAnsi="Arial" w:cs="Arial"/>
          <w:szCs w:val="24"/>
          <w:lang w:val="en-GB"/>
        </w:rPr>
        <w:t>6</w:t>
      </w:r>
    </w:p>
    <w:p w14:paraId="04C576BC" w14:textId="77777777" w:rsidR="002B07F9" w:rsidRPr="00E35ABF" w:rsidRDefault="002B07F9" w:rsidP="002B07F9">
      <w:pPr>
        <w:jc w:val="center"/>
        <w:rPr>
          <w:rFonts w:ascii="Arial" w:hAnsi="Arial" w:cs="Arial"/>
          <w:szCs w:val="24"/>
          <w:lang w:val="en-GB"/>
        </w:rPr>
      </w:pPr>
    </w:p>
    <w:p w14:paraId="2668AEB7" w14:textId="749D45B2" w:rsidR="0028669F" w:rsidRPr="00E35ABF" w:rsidRDefault="00BE32E3" w:rsidP="00BE32E3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Cs w:val="24"/>
        </w:rPr>
      </w:pPr>
      <w:r w:rsidRPr="00E35ABF">
        <w:rPr>
          <w:rFonts w:ascii="Arial" w:hAnsi="Arial" w:cs="Arial"/>
          <w:b/>
          <w:spacing w:val="-3"/>
          <w:szCs w:val="24"/>
        </w:rPr>
        <w:t xml:space="preserve">Schedule </w:t>
      </w:r>
      <w:r w:rsidR="001071CE">
        <w:rPr>
          <w:rFonts w:ascii="Arial" w:hAnsi="Arial" w:cs="Arial"/>
          <w:b/>
          <w:spacing w:val="-3"/>
          <w:szCs w:val="24"/>
        </w:rPr>
        <w:t>84</w:t>
      </w:r>
    </w:p>
    <w:p w14:paraId="19036099" w14:textId="77777777" w:rsidR="0028669F" w:rsidRPr="00E35ABF" w:rsidRDefault="0028669F" w:rsidP="002866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5C2A7B7" w14:textId="2419DF27" w:rsidR="0028669F" w:rsidRDefault="00472328" w:rsidP="00472328">
      <w:pPr>
        <w:jc w:val="center"/>
        <w:rPr>
          <w:rFonts w:ascii="Arial" w:hAnsi="Arial" w:cs="Arial"/>
          <w:i/>
          <w:szCs w:val="24"/>
          <w:lang w:val="en-GB"/>
        </w:rPr>
      </w:pPr>
      <w:r w:rsidRPr="00472328">
        <w:rPr>
          <w:rFonts w:ascii="Arial" w:hAnsi="Arial" w:cs="Arial"/>
          <w:i/>
          <w:szCs w:val="24"/>
          <w:lang w:val="en-GB"/>
        </w:rPr>
        <w:t>Towing and Storage Safety and Enforcement Act, 2021</w:t>
      </w:r>
    </w:p>
    <w:tbl>
      <w:tblPr>
        <w:tblpPr w:leftFromText="180" w:rightFromText="180" w:vertAnchor="text" w:horzAnchor="margin" w:tblpXSpec="center" w:tblpY="1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B00880" w:rsidRPr="001071CE" w14:paraId="006CAF9B" w14:textId="77777777" w:rsidTr="00B00880">
        <w:trPr>
          <w:cantSplit/>
        </w:trPr>
        <w:tc>
          <w:tcPr>
            <w:tcW w:w="903" w:type="dxa"/>
          </w:tcPr>
          <w:p w14:paraId="0BAF2041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58750626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1C79C3E9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065D8EE6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4E3FCB72" w14:textId="32291418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B00880" w:rsidRPr="001071CE" w14:paraId="6621B849" w14:textId="77777777" w:rsidTr="00B00880">
        <w:trPr>
          <w:cantSplit/>
          <w:trHeight w:val="215"/>
        </w:trPr>
        <w:tc>
          <w:tcPr>
            <w:tcW w:w="903" w:type="dxa"/>
          </w:tcPr>
          <w:p w14:paraId="649982F5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73.1</w:t>
            </w:r>
          </w:p>
        </w:tc>
        <w:tc>
          <w:tcPr>
            <w:tcW w:w="4766" w:type="dxa"/>
          </w:tcPr>
          <w:p w14:paraId="7041CCF1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Provide towing services in a restricted towing zone — not authorized</w:t>
            </w:r>
          </w:p>
        </w:tc>
        <w:tc>
          <w:tcPr>
            <w:tcW w:w="2431" w:type="dxa"/>
          </w:tcPr>
          <w:p w14:paraId="276019FC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41 (3)</w:t>
            </w:r>
          </w:p>
        </w:tc>
        <w:tc>
          <w:tcPr>
            <w:tcW w:w="1350" w:type="dxa"/>
          </w:tcPr>
          <w:p w14:paraId="2CD1A9B2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0267E0A4" w14:textId="7338767D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B00880" w:rsidRPr="001071CE" w14:paraId="76A4A27E" w14:textId="77777777" w:rsidTr="00B00880">
        <w:trPr>
          <w:cantSplit/>
        </w:trPr>
        <w:tc>
          <w:tcPr>
            <w:tcW w:w="903" w:type="dxa"/>
          </w:tcPr>
          <w:p w14:paraId="36A7B804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73.2</w:t>
            </w:r>
          </w:p>
        </w:tc>
        <w:tc>
          <w:tcPr>
            <w:tcW w:w="4766" w:type="dxa"/>
          </w:tcPr>
          <w:p w14:paraId="5B4B46B8" w14:textId="77777777" w:rsidR="00B00880" w:rsidRPr="001071CE" w:rsidRDefault="00B00880" w:rsidP="00B008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1071CE">
              <w:rPr>
                <w:rFonts w:ascii="Arial" w:hAnsi="Arial" w:cs="Arial"/>
              </w:rPr>
              <w:t xml:space="preserve">Provide towing services not specified by the Ministry in a restricted towing zone </w:t>
            </w:r>
          </w:p>
        </w:tc>
        <w:tc>
          <w:tcPr>
            <w:tcW w:w="2431" w:type="dxa"/>
          </w:tcPr>
          <w:p w14:paraId="71E4F5CE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41 (3.1)</w:t>
            </w:r>
          </w:p>
        </w:tc>
        <w:tc>
          <w:tcPr>
            <w:tcW w:w="1350" w:type="dxa"/>
          </w:tcPr>
          <w:p w14:paraId="77B6CE6D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$350.00</w:t>
            </w:r>
          </w:p>
        </w:tc>
        <w:tc>
          <w:tcPr>
            <w:tcW w:w="1350" w:type="dxa"/>
          </w:tcPr>
          <w:p w14:paraId="3B1A2FB2" w14:textId="054CF6A6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B00880" w:rsidRPr="001071CE" w14:paraId="499F971E" w14:textId="77777777" w:rsidTr="00B00880">
        <w:trPr>
          <w:cantSplit/>
        </w:trPr>
        <w:tc>
          <w:tcPr>
            <w:tcW w:w="903" w:type="dxa"/>
          </w:tcPr>
          <w:p w14:paraId="24FAAC05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73.3</w:t>
            </w:r>
          </w:p>
        </w:tc>
        <w:tc>
          <w:tcPr>
            <w:tcW w:w="4766" w:type="dxa"/>
          </w:tcPr>
          <w:p w14:paraId="3FA5F330" w14:textId="77777777" w:rsidR="00B00880" w:rsidRPr="001071CE" w:rsidRDefault="00B00880" w:rsidP="00B008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1071CE">
              <w:rPr>
                <w:rFonts w:ascii="Arial" w:hAnsi="Arial" w:cs="Arial"/>
              </w:rPr>
              <w:t>Tow truck in restricted towing zone not marked as required</w:t>
            </w:r>
          </w:p>
        </w:tc>
        <w:tc>
          <w:tcPr>
            <w:tcW w:w="2431" w:type="dxa"/>
          </w:tcPr>
          <w:p w14:paraId="5C6F5B31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42 (1)</w:t>
            </w:r>
          </w:p>
        </w:tc>
        <w:tc>
          <w:tcPr>
            <w:tcW w:w="1350" w:type="dxa"/>
          </w:tcPr>
          <w:p w14:paraId="370A5013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$350.00</w:t>
            </w:r>
          </w:p>
        </w:tc>
        <w:tc>
          <w:tcPr>
            <w:tcW w:w="1350" w:type="dxa"/>
          </w:tcPr>
          <w:p w14:paraId="21AECA9C" w14:textId="07C97CFF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B00880" w:rsidRPr="001071CE" w14:paraId="21CCB5EB" w14:textId="77777777" w:rsidTr="00B00880">
        <w:trPr>
          <w:cantSplit/>
        </w:trPr>
        <w:tc>
          <w:tcPr>
            <w:tcW w:w="903" w:type="dxa"/>
          </w:tcPr>
          <w:p w14:paraId="0A752894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73.4</w:t>
            </w:r>
          </w:p>
        </w:tc>
        <w:tc>
          <w:tcPr>
            <w:tcW w:w="4766" w:type="dxa"/>
          </w:tcPr>
          <w:p w14:paraId="4BA25E9A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 xml:space="preserve">Drive tow truck improperly displaying specified information in a restricted towing zone </w:t>
            </w:r>
          </w:p>
        </w:tc>
        <w:tc>
          <w:tcPr>
            <w:tcW w:w="2431" w:type="dxa"/>
          </w:tcPr>
          <w:p w14:paraId="2F141390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42 (2)</w:t>
            </w:r>
          </w:p>
        </w:tc>
        <w:tc>
          <w:tcPr>
            <w:tcW w:w="1350" w:type="dxa"/>
          </w:tcPr>
          <w:p w14:paraId="303F3815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04573D06" w14:textId="0B4FE010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B00880" w:rsidRPr="001071CE" w14:paraId="1C7AF066" w14:textId="77777777" w:rsidTr="00B00880">
        <w:trPr>
          <w:cantSplit/>
        </w:trPr>
        <w:tc>
          <w:tcPr>
            <w:tcW w:w="903" w:type="dxa"/>
          </w:tcPr>
          <w:p w14:paraId="456BCEB0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73.5</w:t>
            </w:r>
          </w:p>
        </w:tc>
        <w:tc>
          <w:tcPr>
            <w:tcW w:w="4766" w:type="dxa"/>
          </w:tcPr>
          <w:p w14:paraId="53E5195E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>Fail to carry proof of authorization in a restricted towing zone</w:t>
            </w:r>
          </w:p>
        </w:tc>
        <w:tc>
          <w:tcPr>
            <w:tcW w:w="2431" w:type="dxa"/>
          </w:tcPr>
          <w:p w14:paraId="170B066A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</w:rPr>
              <w:t xml:space="preserve">43 </w:t>
            </w:r>
          </w:p>
        </w:tc>
        <w:tc>
          <w:tcPr>
            <w:tcW w:w="1350" w:type="dxa"/>
          </w:tcPr>
          <w:p w14:paraId="1D01CD21" w14:textId="77777777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1071CE">
              <w:rPr>
                <w:rFonts w:ascii="Arial" w:hAnsi="Arial" w:cs="Arial"/>
                <w:spacing w:val="-3"/>
                <w:szCs w:val="24"/>
              </w:rPr>
              <w:t>$300.00</w:t>
            </w:r>
          </w:p>
        </w:tc>
        <w:tc>
          <w:tcPr>
            <w:tcW w:w="1350" w:type="dxa"/>
          </w:tcPr>
          <w:p w14:paraId="69271C70" w14:textId="6F3C400B" w:rsidR="00B00880" w:rsidRPr="001071CE" w:rsidRDefault="00B00880" w:rsidP="00B00880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</w:tbl>
    <w:p w14:paraId="04B93EA5" w14:textId="77777777" w:rsidR="00472328" w:rsidRPr="00E35ABF" w:rsidRDefault="00472328" w:rsidP="00472328">
      <w:pPr>
        <w:jc w:val="center"/>
        <w:rPr>
          <w:rFonts w:ascii="Arial" w:hAnsi="Arial" w:cs="Arial"/>
          <w:szCs w:val="24"/>
        </w:rPr>
      </w:pPr>
    </w:p>
    <w:p w14:paraId="50E3B5C3" w14:textId="77777777" w:rsidR="00193BB5" w:rsidRPr="00E35ABF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33C95"/>
    <w:rsid w:val="00077B1B"/>
    <w:rsid w:val="0009432D"/>
    <w:rsid w:val="001071CE"/>
    <w:rsid w:val="00157F6E"/>
    <w:rsid w:val="00193BB5"/>
    <w:rsid w:val="001A44FD"/>
    <w:rsid w:val="001A6056"/>
    <w:rsid w:val="0028669F"/>
    <w:rsid w:val="00294F32"/>
    <w:rsid w:val="002B07F9"/>
    <w:rsid w:val="00341CD2"/>
    <w:rsid w:val="003A4EFD"/>
    <w:rsid w:val="00417393"/>
    <w:rsid w:val="00417D34"/>
    <w:rsid w:val="00472328"/>
    <w:rsid w:val="0051591D"/>
    <w:rsid w:val="00551C7A"/>
    <w:rsid w:val="005915DC"/>
    <w:rsid w:val="005C36CF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45531"/>
    <w:rsid w:val="0077156E"/>
    <w:rsid w:val="007B01A9"/>
    <w:rsid w:val="008D5F92"/>
    <w:rsid w:val="00905416"/>
    <w:rsid w:val="00925599"/>
    <w:rsid w:val="00990CB2"/>
    <w:rsid w:val="009A3B41"/>
    <w:rsid w:val="009D1CD5"/>
    <w:rsid w:val="009D33E7"/>
    <w:rsid w:val="00A16205"/>
    <w:rsid w:val="00A95EE3"/>
    <w:rsid w:val="00AC53EF"/>
    <w:rsid w:val="00AE0904"/>
    <w:rsid w:val="00B00880"/>
    <w:rsid w:val="00B2507C"/>
    <w:rsid w:val="00BE32E3"/>
    <w:rsid w:val="00CE4D38"/>
    <w:rsid w:val="00DE1951"/>
    <w:rsid w:val="00E3126F"/>
    <w:rsid w:val="00E35ABF"/>
    <w:rsid w:val="00E81FCA"/>
    <w:rsid w:val="00EA430A"/>
    <w:rsid w:val="00F039DF"/>
    <w:rsid w:val="00F70A0F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2023-11-29T21:18:00Z</cp:lastPrinted>
  <dcterms:created xsi:type="dcterms:W3CDTF">2026-04-01T15:41:00Z</dcterms:created>
  <dcterms:modified xsi:type="dcterms:W3CDTF">2026-04-01T15:43:00Z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